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C710" w14:textId="0E384795" w:rsidR="00310269" w:rsidRPr="00310269" w:rsidRDefault="00310269" w:rsidP="00310269">
      <w:pPr>
        <w:pStyle w:val="Kop1"/>
      </w:pPr>
      <w:r>
        <w:t xml:space="preserve">Radicalisering, complot denken en veiligheid </w:t>
      </w:r>
    </w:p>
    <w:p w14:paraId="61EEFFBD" w14:textId="77777777" w:rsidR="00310269" w:rsidRPr="00310269" w:rsidRDefault="00310269" w:rsidP="00310269">
      <w:pPr>
        <w:pStyle w:val="Kop2"/>
      </w:pPr>
      <w:r w:rsidRPr="00310269">
        <w:t>Refereeravond 28 januari 2021</w:t>
      </w:r>
    </w:p>
    <w:p w14:paraId="5CD0F5B8" w14:textId="77777777" w:rsidR="00B42CB8" w:rsidRDefault="00B42CB8" w:rsidP="00B42CB8">
      <w:pPr>
        <w:pStyle w:val="Kop2"/>
      </w:pPr>
    </w:p>
    <w:p w14:paraId="70803D33" w14:textId="65BE9E6F" w:rsidR="00B42CB8" w:rsidRDefault="00B42CB8" w:rsidP="00B42CB8">
      <w:pPr>
        <w:pStyle w:val="Kop2"/>
      </w:pPr>
      <w:r>
        <w:t>Programma</w:t>
      </w:r>
    </w:p>
    <w:p w14:paraId="28D4F255" w14:textId="5DE7163B" w:rsidR="00B42CB8" w:rsidRDefault="00310269" w:rsidP="00310269">
      <w:r>
        <w:t>18:00 uur</w:t>
      </w:r>
      <w:r>
        <w:tab/>
      </w:r>
      <w:r w:rsidR="00B42CB8">
        <w:t>Presentatie RERCEPT studie (1 uur)</w:t>
      </w:r>
    </w:p>
    <w:p w14:paraId="0C2A752F" w14:textId="4EC394DB" w:rsidR="00310269" w:rsidRDefault="00310269" w:rsidP="00310269">
      <w:r>
        <w:t>19:00 uur</w:t>
      </w:r>
      <w:r>
        <w:tab/>
      </w:r>
      <w:r w:rsidR="00B42CB8">
        <w:t>Pauze</w:t>
      </w:r>
    </w:p>
    <w:p w14:paraId="7D507ED3" w14:textId="7E47A023" w:rsidR="00B42CB8" w:rsidRDefault="00310269" w:rsidP="00310269">
      <w:r>
        <w:t>19:05 uur</w:t>
      </w:r>
      <w:r>
        <w:tab/>
      </w:r>
      <w:r w:rsidR="00B42CB8">
        <w:t>Presentatie Complot denken, psychiatrie en veiligheid (1 uur)</w:t>
      </w:r>
    </w:p>
    <w:p w14:paraId="4C8CB29F" w14:textId="472BAA4E" w:rsidR="00B42CB8" w:rsidRDefault="00B42CB8" w:rsidP="00B42CB8"/>
    <w:p w14:paraId="71314B59" w14:textId="33B724ED" w:rsidR="00310269" w:rsidRDefault="00310269" w:rsidP="00310269">
      <w:pPr>
        <w:pStyle w:val="Kop2"/>
      </w:pPr>
      <w:r>
        <w:t>Locatie</w:t>
      </w:r>
    </w:p>
    <w:p w14:paraId="0E63E37B" w14:textId="49C377D0" w:rsidR="00310269" w:rsidRDefault="00310269" w:rsidP="00310269">
      <w:pPr>
        <w:pStyle w:val="Geenafstand"/>
      </w:pPr>
      <w:r>
        <w:t xml:space="preserve">Dimence Groep De </w:t>
      </w:r>
      <w:proofErr w:type="spellStart"/>
      <w:r>
        <w:t>Steerne</w:t>
      </w:r>
      <w:proofErr w:type="spellEnd"/>
      <w:r>
        <w:t>, Brinkgreven, gebouw 18.</w:t>
      </w:r>
    </w:p>
    <w:p w14:paraId="06A319A6" w14:textId="3C03641D" w:rsidR="00310269" w:rsidRDefault="00310269" w:rsidP="00310269">
      <w:pPr>
        <w:pStyle w:val="Geenafstand"/>
      </w:pPr>
      <w:r>
        <w:t xml:space="preserve">Nico Bolkesteinlaan 1, Deventer </w:t>
      </w:r>
    </w:p>
    <w:p w14:paraId="7AFEDABC" w14:textId="1E1A5104" w:rsidR="00310269" w:rsidRDefault="00310269" w:rsidP="00B42CB8"/>
    <w:p w14:paraId="22206F1A" w14:textId="1B7018BE" w:rsidR="00B42CB8" w:rsidRDefault="00B42CB8" w:rsidP="00B42CB8">
      <w:pPr>
        <w:pStyle w:val="Kop2"/>
      </w:pPr>
      <w:r>
        <w:t>Abstracts</w:t>
      </w:r>
    </w:p>
    <w:p w14:paraId="4848FC83" w14:textId="77777777" w:rsidR="00B42CB8" w:rsidRDefault="00B42CB8" w:rsidP="00B42CB8">
      <w:pPr>
        <w:pStyle w:val="Kop3"/>
      </w:pPr>
    </w:p>
    <w:p w14:paraId="6978C239" w14:textId="0DAD314D" w:rsidR="00B42CB8" w:rsidRDefault="00B42CB8" w:rsidP="00B42CB8">
      <w:pPr>
        <w:pStyle w:val="Kop3"/>
      </w:pPr>
      <w:r>
        <w:t>PERCEPT studie</w:t>
      </w:r>
    </w:p>
    <w:p w14:paraId="7B42A5C5" w14:textId="37F35F63" w:rsidR="00B42CB8" w:rsidRDefault="00B42CB8" w:rsidP="00B42CB8">
      <w:r>
        <w:t xml:space="preserve">Professionals uit het veiligheidsdomein en de GGZ hebben een tekort aan kennis over en bekendheid met elkaars werkvelden. En dat leidt tot onbegrip over de (on)mogelijkheden van elkaars domein. Het gevolg is een gebrekkige informatie-uitwisseling, frustratie en wederzijds wantrouwen. Dit is een van de belangrijkste conclusies uit het onderzoek </w:t>
      </w:r>
      <w:r>
        <w:rPr>
          <w:i/>
          <w:iCs/>
        </w:rPr>
        <w:t>Percepties over radicalisering en psychische problematiek binnen de Geestelijke Gezondheidszorg (GGZ) en het Veiligheidsdomein. (Valse) verwachtingen van elkaars rol, kennis en mogelijkheden</w:t>
      </w:r>
      <w:r w:rsidR="0046289E">
        <w:t xml:space="preserve"> (Sizoo, 2020).</w:t>
      </w:r>
    </w:p>
    <w:p w14:paraId="5F7F3550" w14:textId="4D370D5A" w:rsidR="00B42CB8" w:rsidRDefault="00B42CB8" w:rsidP="00B42CB8">
      <w:r>
        <w:t xml:space="preserve">Psychiater Bram </w:t>
      </w:r>
      <w:proofErr w:type="spellStart"/>
      <w:r>
        <w:t>Sizoo</w:t>
      </w:r>
      <w:proofErr w:type="spellEnd"/>
      <w:r>
        <w:t xml:space="preserve"> en sociaalpsycholoog </w:t>
      </w:r>
      <w:proofErr w:type="spellStart"/>
      <w:r>
        <w:t>Bertjan</w:t>
      </w:r>
      <w:proofErr w:type="spellEnd"/>
      <w:r>
        <w:t xml:space="preserve"> Doosje (Universiteit van Amsterdam) enquêteerden en/of spraken 163 professionals voor hun onderzoek (al dan niet in een focusgroep), dat werd uitgevoerd met financiële steun van het WODC en de NCTV. Zij constateren een overdaad aan literatuur over radicalisering en terrorisme, maar nauwelijks bekend is hoe professionals zich daartoe verhouden. Zo blijken GGZ-professionals in de spreekkamer onderwerpen als religie, politiek en ideologie uit de weg te gaan. Ook in de GGZ-opleiding komt radicalisering nauwelijks aan de orde. </w:t>
      </w:r>
    </w:p>
    <w:p w14:paraId="54080904" w14:textId="6F9F8301" w:rsidR="00BF42CC" w:rsidRDefault="00BF42CC" w:rsidP="00B42CB8">
      <w:r>
        <w:t>In deze presentatie worden de resultaten van de studie nader toegelicht en zal inzichtelijk worden gemaakt hoe de percepties in beide domeinen uiteen kunnen lopen en welke gevolgen dat heeft.</w:t>
      </w:r>
    </w:p>
    <w:p w14:paraId="0B869B40" w14:textId="1DD5F773" w:rsidR="00B42CB8" w:rsidRPr="00B42CB8" w:rsidRDefault="00B42CB8" w:rsidP="00B42CB8">
      <w:pPr>
        <w:rPr>
          <w:i/>
          <w:iCs/>
        </w:rPr>
      </w:pPr>
      <w:r w:rsidRPr="00B42CB8">
        <w:rPr>
          <w:i/>
          <w:iCs/>
        </w:rPr>
        <w:t>Leerdoelen</w:t>
      </w:r>
    </w:p>
    <w:p w14:paraId="009F7BC3" w14:textId="71140541" w:rsidR="00B42CB8" w:rsidRDefault="00B42CB8" w:rsidP="00B42CB8">
      <w:pPr>
        <w:pStyle w:val="Lijstalinea"/>
        <w:numPr>
          <w:ilvl w:val="0"/>
          <w:numId w:val="2"/>
        </w:numPr>
      </w:pPr>
      <w:r>
        <w:t>Kennis over percepties in het veiligheidsdomein over de GGZ ten aanzien van radicalisering</w:t>
      </w:r>
    </w:p>
    <w:p w14:paraId="55F38365" w14:textId="243E2F0B" w:rsidR="00B42CB8" w:rsidRDefault="00B42CB8" w:rsidP="00B42CB8">
      <w:pPr>
        <w:pStyle w:val="Lijstalinea"/>
        <w:numPr>
          <w:ilvl w:val="0"/>
          <w:numId w:val="2"/>
        </w:numPr>
      </w:pPr>
      <w:r>
        <w:t>Kennis over knelpunten in de informatie uitwisseling tussen veiligheidsdomein en GGZ</w:t>
      </w:r>
    </w:p>
    <w:p w14:paraId="434BBEA9" w14:textId="582B3C17" w:rsidR="00B42CB8" w:rsidRDefault="00B42CB8" w:rsidP="00B42CB8">
      <w:pPr>
        <w:pStyle w:val="Lijstalinea"/>
        <w:numPr>
          <w:ilvl w:val="0"/>
          <w:numId w:val="2"/>
        </w:numPr>
      </w:pPr>
      <w:r>
        <w:t>Kennis over aanbevelingen uit de PERCEPT studie</w:t>
      </w:r>
    </w:p>
    <w:p w14:paraId="65F4101A" w14:textId="330C0781" w:rsidR="00B42CB8" w:rsidRDefault="00B42CB8" w:rsidP="00B42CB8"/>
    <w:p w14:paraId="6F88B880" w14:textId="70DDB05C" w:rsidR="00B42CB8" w:rsidRDefault="00B42CB8" w:rsidP="00B42CB8">
      <w:pPr>
        <w:pStyle w:val="Kop2"/>
      </w:pPr>
      <w:r>
        <w:t>Complot denken, psychiatrie en veiligheid</w:t>
      </w:r>
    </w:p>
    <w:p w14:paraId="0DBC2845" w14:textId="2029B2BB" w:rsidR="0046289E" w:rsidRDefault="00B42CB8" w:rsidP="0046289E">
      <w:r>
        <w:t xml:space="preserve">Het thema complot denken is actueel en vraagt om antwoorden </w:t>
      </w:r>
      <w:r w:rsidR="00BF42CC">
        <w:t xml:space="preserve">op vragen van het publiek, de media en de politie. </w:t>
      </w:r>
      <w:r w:rsidR="00BF42CC" w:rsidRPr="00BF42CC">
        <w:t xml:space="preserve">Kenmerkend voor een complotdenkers is dat zij primair gezaghebbende en algemeen aanvaarde wetenschap en verklaringen verwerpen. Secundair komt daar een complottheorie voor in de plaats. Complotdenkers geloven in alternatieve verklaringen. Complottheorieën verwijzen dan </w:t>
      </w:r>
      <w:r w:rsidR="00BF42CC" w:rsidRPr="00BF42CC">
        <w:lastRenderedPageBreak/>
        <w:t>naar geheimzinnige, kwaadaardige verzinsels van experts en de machtige elite, die daarmee de ‘echte waarheid’ proberen te verdoezelen. Bij complotdenkers is dus niet zozeer sprake van wetenschappelijke scepsis (alleen iets geloven als er objectief bewijs is), maar wetenschappelijke ontkenning (het objectieve bewijs niet geloven)</w:t>
      </w:r>
      <w:r w:rsidR="0046289E" w:rsidRPr="0046289E">
        <w:t xml:space="preserve"> </w:t>
      </w:r>
      <w:r w:rsidR="0046289E">
        <w:fldChar w:fldCharType="begin">
          <w:fldData xml:space="preserve">PEVuZE5vdGU+PENpdGU+PEF1dGhvcj5Eb3VnbGFzPC9BdXRob3I+PFllYXI+MjAxNzwvWWVhcj48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</w:fldData>
        </w:fldChar>
      </w:r>
      <w:r w:rsidR="0046289E">
        <w:instrText xml:space="preserve"> ADDIN EN.CITE </w:instrText>
      </w:r>
      <w:r w:rsidR="0046289E">
        <w:fldChar w:fldCharType="begin">
          <w:fldData xml:space="preserve">PEVuZE5vdGU+PENpdGU+PEF1dGhvcj5Eb3VnbGFzPC9BdXRob3I+PFllYXI+MjAxNzwvWWVhcj48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</w:fldData>
        </w:fldChar>
      </w:r>
      <w:r w:rsidR="0046289E">
        <w:instrText xml:space="preserve"> ADDIN EN.CITE.DATA </w:instrText>
      </w:r>
      <w:r w:rsidR="0046289E">
        <w:fldChar w:fldCharType="end"/>
      </w:r>
      <w:r w:rsidR="0046289E">
        <w:fldChar w:fldCharType="separate"/>
      </w:r>
      <w:r w:rsidR="0046289E">
        <w:rPr>
          <w:noProof/>
        </w:rPr>
        <w:t>(Douglas et al. 2017; Harambam and Aupers 2017)</w:t>
      </w:r>
      <w:r w:rsidR="0046289E">
        <w:fldChar w:fldCharType="end"/>
      </w:r>
      <w:r w:rsidR="0046289E">
        <w:t>.</w:t>
      </w:r>
    </w:p>
    <w:p w14:paraId="03C3A001" w14:textId="06618D87" w:rsidR="00B42CB8" w:rsidRDefault="00B42CB8" w:rsidP="00B42CB8"/>
    <w:p w14:paraId="44DB0E9D" w14:textId="5571BE77" w:rsidR="00BF42CC" w:rsidRDefault="00BF42CC" w:rsidP="00B42CB8">
      <w:r>
        <w:t xml:space="preserve">Hoe verhoudt complot denken zich tot psychiatrische stoornissen en is er een taak voor de psychiatrie weggelegd op dit thema? </w:t>
      </w:r>
    </w:p>
    <w:p w14:paraId="07A4B3E0" w14:textId="6C2A3BA6" w:rsidR="00BF42CC" w:rsidRPr="00BF42CC" w:rsidRDefault="00BF42CC" w:rsidP="00B42CB8">
      <w:pPr>
        <w:rPr>
          <w:i/>
          <w:iCs/>
        </w:rPr>
      </w:pPr>
      <w:r w:rsidRPr="00BF42CC">
        <w:rPr>
          <w:i/>
          <w:iCs/>
        </w:rPr>
        <w:t>Leerdoelen</w:t>
      </w:r>
    </w:p>
    <w:p w14:paraId="71BAB781" w14:textId="39880C68" w:rsidR="00BF42CC" w:rsidRDefault="00BF42CC" w:rsidP="00BF42CC">
      <w:pPr>
        <w:pStyle w:val="Lijstalinea"/>
        <w:numPr>
          <w:ilvl w:val="0"/>
          <w:numId w:val="3"/>
        </w:numPr>
      </w:pPr>
      <w:r>
        <w:t>Kennis over het verschil tussen complot theorieën en waanstoornissen volgens de literatuur</w:t>
      </w:r>
    </w:p>
    <w:p w14:paraId="61B12B1C" w14:textId="69A6FDB1" w:rsidR="00BF42CC" w:rsidRDefault="00BF42CC" w:rsidP="000D708F">
      <w:pPr>
        <w:pStyle w:val="Lijstalinea"/>
        <w:numPr>
          <w:ilvl w:val="0"/>
          <w:numId w:val="3"/>
        </w:numPr>
      </w:pPr>
      <w:r>
        <w:t xml:space="preserve">Kennis van de diversiteit aan complot theorieën en de consequenties daarvan </w:t>
      </w:r>
    </w:p>
    <w:p w14:paraId="465F6A2F" w14:textId="1F5EC8A2" w:rsidR="00BF42CC" w:rsidRDefault="00BF42CC" w:rsidP="000D708F">
      <w:pPr>
        <w:pStyle w:val="Lijstalinea"/>
        <w:numPr>
          <w:ilvl w:val="0"/>
          <w:numId w:val="3"/>
        </w:numPr>
      </w:pPr>
      <w:r>
        <w:t>Kennis over theorieën over de oorzaken van complot denken</w:t>
      </w:r>
    </w:p>
    <w:p w14:paraId="1243AE3E" w14:textId="7550D111" w:rsidR="00BF42CC" w:rsidRDefault="00BF42CC" w:rsidP="00BF42CC"/>
    <w:p w14:paraId="3871751C" w14:textId="50415D0A" w:rsidR="00BF42CC" w:rsidRDefault="00BF42CC" w:rsidP="00BF42CC">
      <w:pPr>
        <w:pStyle w:val="Kop2"/>
      </w:pPr>
      <w:r>
        <w:t>Literatuur</w:t>
      </w:r>
    </w:p>
    <w:p w14:paraId="3D5F32BB" w14:textId="59466844" w:rsidR="00BF42CC" w:rsidRPr="0046289E" w:rsidRDefault="0046289E" w:rsidP="0046289E">
      <w:pPr>
        <w:pStyle w:val="EndNoteBibliography"/>
        <w:spacing w:after="0" w:line="276" w:lineRule="auto"/>
        <w:ind w:left="720" w:hanging="720"/>
        <w:rPr>
          <w:lang w:val="nl-NL"/>
        </w:rPr>
      </w:pPr>
      <w:r>
        <w:t>Sizoo, B. &amp; Doosje, EJ.</w:t>
      </w:r>
      <w:r w:rsidR="00BF42CC" w:rsidRPr="00BF42CC">
        <w:t xml:space="preserve">, Percepties over radicalisering en psychische problematiek in de Geestelijke Gezondheidszorg (GGZ) en het Veiligheidsdomein. </w:t>
      </w:r>
      <w:r w:rsidR="00BF42CC" w:rsidRPr="0046289E">
        <w:rPr>
          <w:lang w:val="nl-NL"/>
        </w:rPr>
        <w:t xml:space="preserve">(Valse) verwachtingen van elkaars rol, kennis en mogelijkheden (20 juli 2020) </w:t>
      </w:r>
      <w:hyperlink r:id="rId7" w:history="1">
        <w:r w:rsidR="00BF42CC" w:rsidRPr="0046289E">
          <w:rPr>
            <w:lang w:val="nl-NL"/>
          </w:rPr>
          <w:t>http://orcat.nl/wp-content/uploads/2020/10/Report-PERCEPT-study-Dutch.pdf</w:t>
        </w:r>
      </w:hyperlink>
      <w:r w:rsidRPr="0046289E">
        <w:rPr>
          <w:lang w:val="nl-NL"/>
        </w:rPr>
        <w:t xml:space="preserve"> </w:t>
      </w:r>
    </w:p>
    <w:p w14:paraId="634F3AF6" w14:textId="77777777" w:rsidR="0046289E" w:rsidRPr="0046289E" w:rsidRDefault="00BF42CC" w:rsidP="0046289E">
      <w:pPr>
        <w:pStyle w:val="EndNoteBibliography"/>
        <w:spacing w:after="0" w:line="276" w:lineRule="auto"/>
        <w:ind w:left="720" w:hanging="720"/>
      </w:pPr>
      <w:r>
        <w:fldChar w:fldCharType="begin"/>
      </w:r>
      <w:r>
        <w:instrText xml:space="preserve"> ADDIN EN.REFLIST </w:instrText>
      </w:r>
      <w:r>
        <w:fldChar w:fldCharType="separate"/>
      </w:r>
      <w:r w:rsidR="0046289E" w:rsidRPr="0046289E">
        <w:t xml:space="preserve">Douglas, K. M., Sutton, R. M., &amp; Cichocka, A. (2017). The Psychology of Conspiracy Theories. </w:t>
      </w:r>
      <w:r w:rsidR="0046289E" w:rsidRPr="0046289E">
        <w:rPr>
          <w:i/>
        </w:rPr>
        <w:t>Current Directions in Psychological Science, 26</w:t>
      </w:r>
      <w:r w:rsidR="0046289E" w:rsidRPr="0046289E">
        <w:t>(6), 538-542, doi:10.1177/0963721417718261.</w:t>
      </w:r>
    </w:p>
    <w:p w14:paraId="6E1EF1C7" w14:textId="7D1AE02D" w:rsidR="0046289E" w:rsidRPr="0046289E" w:rsidRDefault="0046289E" w:rsidP="0046289E">
      <w:pPr>
        <w:pStyle w:val="EndNoteBibliography"/>
        <w:spacing w:after="0" w:line="276" w:lineRule="auto"/>
        <w:ind w:left="720" w:hanging="720"/>
      </w:pPr>
      <w:r w:rsidRPr="0046289E">
        <w:t xml:space="preserve">Harambam, J., &amp; Aupers, S. (2017). ‘I Am Not a Conspiracy Theorist’: Relational Identifications in the Dutch Conspiracy Milieu. </w:t>
      </w:r>
      <w:r w:rsidRPr="0046289E">
        <w:rPr>
          <w:i/>
        </w:rPr>
        <w:t>Cultural Sociology, 11</w:t>
      </w:r>
      <w:r w:rsidRPr="0046289E">
        <w:t>(1), 113-129, doi:10.1177/1749975516661959.</w:t>
      </w:r>
    </w:p>
    <w:p w14:paraId="0AFB96B9" w14:textId="0B929445" w:rsidR="00BF42CC" w:rsidRDefault="00BF42CC" w:rsidP="0046289E">
      <w:pPr>
        <w:spacing w:after="0" w:line="276" w:lineRule="auto"/>
      </w:pPr>
      <w:r>
        <w:fldChar w:fldCharType="end"/>
      </w:r>
    </w:p>
    <w:p w14:paraId="114EDD75" w14:textId="12E85040" w:rsidR="00310269" w:rsidRDefault="00310269" w:rsidP="00310269">
      <w:pPr>
        <w:pStyle w:val="Kop2"/>
      </w:pPr>
      <w:r>
        <w:t>Aanmelden</w:t>
      </w:r>
    </w:p>
    <w:p w14:paraId="755B5E05" w14:textId="50BD8D1E" w:rsidR="00310269" w:rsidRDefault="00310269" w:rsidP="00310269">
      <w:r>
        <w:t xml:space="preserve">Aanmelden kan via </w:t>
      </w:r>
      <w:hyperlink r:id="rId8" w:history="1">
        <w:r w:rsidRPr="00AB75E3">
          <w:rPr>
            <w:rStyle w:val="Hyperlink"/>
          </w:rPr>
          <w:t>j.strijker@dimencegroep.nl</w:t>
        </w:r>
      </w:hyperlink>
      <w:r>
        <w:t xml:space="preserve"> tot 25 januari 2021</w:t>
      </w:r>
    </w:p>
    <w:p w14:paraId="12DB9FFA" w14:textId="0E94F8C3" w:rsidR="00310269" w:rsidRDefault="00310269" w:rsidP="00310269"/>
    <w:p w14:paraId="04181A80" w14:textId="3FC31329" w:rsidR="00310269" w:rsidRDefault="00310269" w:rsidP="00310269">
      <w:pPr>
        <w:pStyle w:val="Kop2"/>
      </w:pPr>
      <w:r>
        <w:t>COVID 19</w:t>
      </w:r>
    </w:p>
    <w:p w14:paraId="39C2D506" w14:textId="1B911D56" w:rsidR="00310269" w:rsidRPr="00310269" w:rsidRDefault="00310269" w:rsidP="00310269">
      <w:r>
        <w:t>In verband met de maatregelen rondom het coronavirus wordt de scholing ook</w:t>
      </w:r>
      <w:bookmarkStart w:id="0" w:name="_GoBack"/>
      <w:bookmarkEnd w:id="0"/>
      <w:r>
        <w:t xml:space="preserve"> online aangeboden. </w:t>
      </w:r>
    </w:p>
    <w:sectPr w:rsidR="00310269" w:rsidRPr="00310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E13C" w14:textId="77777777" w:rsidR="0010186B" w:rsidRDefault="0010186B" w:rsidP="00B42CB8">
      <w:pPr>
        <w:spacing w:after="0" w:line="240" w:lineRule="auto"/>
      </w:pPr>
      <w:r>
        <w:separator/>
      </w:r>
    </w:p>
  </w:endnote>
  <w:endnote w:type="continuationSeparator" w:id="0">
    <w:p w14:paraId="02376EA9" w14:textId="77777777" w:rsidR="0010186B" w:rsidRDefault="0010186B" w:rsidP="00B4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1F42" w14:textId="77777777" w:rsidR="0010186B" w:rsidRDefault="0010186B" w:rsidP="00B42CB8">
      <w:pPr>
        <w:spacing w:after="0" w:line="240" w:lineRule="auto"/>
      </w:pPr>
      <w:r>
        <w:separator/>
      </w:r>
    </w:p>
  </w:footnote>
  <w:footnote w:type="continuationSeparator" w:id="0">
    <w:p w14:paraId="0E950D0C" w14:textId="77777777" w:rsidR="0010186B" w:rsidRDefault="0010186B" w:rsidP="00B42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F4"/>
    <w:multiLevelType w:val="multilevel"/>
    <w:tmpl w:val="379EFD02"/>
    <w:lvl w:ilvl="0">
      <w:start w:val="18"/>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145E7E16"/>
    <w:multiLevelType w:val="hybridMultilevel"/>
    <w:tmpl w:val="C742C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CE0F51"/>
    <w:multiLevelType w:val="hybridMultilevel"/>
    <w:tmpl w:val="955C626E"/>
    <w:lvl w:ilvl="0" w:tplc="0F70B3D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901094"/>
    <w:multiLevelType w:val="multilevel"/>
    <w:tmpl w:val="673CE018"/>
    <w:lvl w:ilvl="0">
      <w:start w:val="18"/>
      <w:numFmt w:val="decimal"/>
      <w:lvlText w:val="%1.0"/>
      <w:lvlJc w:val="left"/>
      <w:pPr>
        <w:ind w:left="860" w:hanging="500"/>
      </w:pPr>
      <w:rPr>
        <w:rFonts w:hint="default"/>
      </w:rPr>
    </w:lvl>
    <w:lvl w:ilvl="1">
      <w:start w:val="1"/>
      <w:numFmt w:val="decimalZero"/>
      <w:lvlText w:val="%1.%2"/>
      <w:lvlJc w:val="left"/>
      <w:pPr>
        <w:ind w:left="1568" w:hanging="50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4" w15:restartNumberingAfterBreak="0">
    <w:nsid w:val="784D70B9"/>
    <w:multiLevelType w:val="multilevel"/>
    <w:tmpl w:val="92D8F150"/>
    <w:lvl w:ilvl="0">
      <w:start w:val="19"/>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7AB970B4"/>
    <w:multiLevelType w:val="hybridMultilevel"/>
    <w:tmpl w:val="DCDECCCE"/>
    <w:lvl w:ilvl="0" w:tplc="0F70B3D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rswz2doxs5eces9scpazvr0dpzspae2eve&quot;&gt;My EndNote Library Copy 16JUN2019-Converted&lt;record-ids&gt;&lt;item&gt;1814&lt;/item&gt;&lt;item&gt;1815&lt;/item&gt;&lt;/record-ids&gt;&lt;/item&gt;&lt;/Libraries&gt;"/>
  </w:docVars>
  <w:rsids>
    <w:rsidRoot w:val="00B42CB8"/>
    <w:rsid w:val="0010186B"/>
    <w:rsid w:val="00310269"/>
    <w:rsid w:val="0046289E"/>
    <w:rsid w:val="00B42CB8"/>
    <w:rsid w:val="00BF4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884CB"/>
  <w15:chartTrackingRefBased/>
  <w15:docId w15:val="{93A2AF62-13DC-4B49-BED7-03B0152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2C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2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42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2CB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42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2CB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B42CB8"/>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42CB8"/>
    <w:pPr>
      <w:ind w:left="720"/>
      <w:contextualSpacing/>
    </w:pPr>
  </w:style>
  <w:style w:type="character" w:styleId="Hyperlink">
    <w:name w:val="Hyperlink"/>
    <w:uiPriority w:val="99"/>
    <w:unhideWhenUsed/>
    <w:rsid w:val="00B42CB8"/>
    <w:rPr>
      <w:color w:val="0000FF"/>
      <w:u w:val="single"/>
    </w:rPr>
  </w:style>
  <w:style w:type="character" w:styleId="Voetnootmarkering">
    <w:name w:val="footnote reference"/>
    <w:uiPriority w:val="99"/>
    <w:semiHidden/>
    <w:unhideWhenUsed/>
    <w:rsid w:val="00B42CB8"/>
    <w:rPr>
      <w:color w:val="ED7D31" w:themeColor="accent2"/>
      <w:vertAlign w:val="superscript"/>
    </w:rPr>
  </w:style>
  <w:style w:type="character" w:customStyle="1" w:styleId="Kop3Char">
    <w:name w:val="Kop 3 Char"/>
    <w:basedOn w:val="Standaardalinea-lettertype"/>
    <w:link w:val="Kop3"/>
    <w:uiPriority w:val="9"/>
    <w:rsid w:val="00B42CB8"/>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BF42CC"/>
    <w:rPr>
      <w:color w:val="605E5C"/>
      <w:shd w:val="clear" w:color="auto" w:fill="E1DFDD"/>
    </w:rPr>
  </w:style>
  <w:style w:type="paragraph" w:customStyle="1" w:styleId="EndNoteBibliographyTitle">
    <w:name w:val="EndNote Bibliography Title"/>
    <w:basedOn w:val="Standaard"/>
    <w:link w:val="EndNoteBibliographyTitleChar"/>
    <w:rsid w:val="00BF42CC"/>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BF42CC"/>
    <w:rPr>
      <w:rFonts w:ascii="Calibri" w:hAnsi="Calibri" w:cs="Calibri"/>
      <w:noProof/>
      <w:lang w:val="en-US"/>
    </w:rPr>
  </w:style>
  <w:style w:type="paragraph" w:customStyle="1" w:styleId="EndNoteBibliography">
    <w:name w:val="EndNote Bibliography"/>
    <w:basedOn w:val="Standaard"/>
    <w:link w:val="EndNoteBibliographyChar"/>
    <w:rsid w:val="00BF42CC"/>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BF42CC"/>
    <w:rPr>
      <w:rFonts w:ascii="Calibri" w:hAnsi="Calibri" w:cs="Calibri"/>
      <w:noProof/>
      <w:lang w:val="en-US"/>
    </w:rPr>
  </w:style>
  <w:style w:type="paragraph" w:styleId="Geenafstand">
    <w:name w:val="No Spacing"/>
    <w:uiPriority w:val="1"/>
    <w:qFormat/>
    <w:rsid w:val="00310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ijker@dimencegroep.nl" TargetMode="External"/><Relationship Id="rId3" Type="http://schemas.openxmlformats.org/officeDocument/2006/relationships/settings" Target="settings.xml"/><Relationship Id="rId7" Type="http://schemas.openxmlformats.org/officeDocument/2006/relationships/hyperlink" Target="http://orcat.nl/wp-content/uploads/2020/10/Report-PERCEPT-study-Dut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Sizoo</dc:creator>
  <cp:keywords/>
  <dc:description/>
  <cp:lastModifiedBy>Jetty Strijker - Meijer</cp:lastModifiedBy>
  <cp:revision>2</cp:revision>
  <dcterms:created xsi:type="dcterms:W3CDTF">2020-12-22T10:30:00Z</dcterms:created>
  <dcterms:modified xsi:type="dcterms:W3CDTF">2020-12-22T10:30:00Z</dcterms:modified>
</cp:coreProperties>
</file>